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60B98D23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</w:t>
      </w:r>
      <w:r w:rsidR="00554FF0">
        <w:t>8</w:t>
      </w:r>
      <w:r w:rsidRPr="002810CC">
        <w:tab/>
      </w:r>
      <w:r w:rsidR="00D46431" w:rsidRPr="002810CC">
        <w:tab/>
      </w:r>
      <w:r w:rsidR="00A6706E" w:rsidRPr="00A6706E">
        <w:t>R4-2600109</w:t>
      </w:r>
    </w:p>
    <w:p w14:paraId="50DC9730" w14:textId="30C83A23" w:rsidR="00D309CC" w:rsidRPr="00FD166F" w:rsidRDefault="00554FF0" w:rsidP="00D46431">
      <w:pPr>
        <w:pStyle w:val="CH"/>
        <w:tabs>
          <w:tab w:val="clear" w:pos="7920"/>
        </w:tabs>
        <w:rPr>
          <w:b w:val="0"/>
        </w:rPr>
      </w:pPr>
      <w:r>
        <w:t>Gothenburg</w:t>
      </w:r>
      <w:r w:rsidR="00D309CC" w:rsidRPr="002810CC">
        <w:t xml:space="preserve">, </w:t>
      </w:r>
      <w:r>
        <w:t>Sweden</w:t>
      </w:r>
      <w:r w:rsidR="00D309CC" w:rsidRPr="002810CC">
        <w:t xml:space="preserve">, </w:t>
      </w:r>
      <w:r>
        <w:t>9</w:t>
      </w:r>
      <w:r w:rsidR="002810CC" w:rsidRPr="002810CC">
        <w:t xml:space="preserve">th – </w:t>
      </w:r>
      <w:r>
        <w:t>13th</w:t>
      </w:r>
      <w:r w:rsidR="002810CC" w:rsidRPr="002810CC">
        <w:t xml:space="preserve"> </w:t>
      </w:r>
      <w:r>
        <w:t>February</w:t>
      </w:r>
      <w:r w:rsidR="002810CC" w:rsidRPr="002810CC">
        <w:t xml:space="preserve"> 202</w:t>
      </w:r>
      <w:r>
        <w:t>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76AA4A25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445CD2">
        <w:t>10.6.1</w:t>
      </w:r>
    </w:p>
    <w:p w14:paraId="4DBE005A" w14:textId="2CCBD6F0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1CEB2C77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</w:t>
      </w:r>
      <w:r w:rsidR="00445CD2">
        <w:t xml:space="preserve">the </w:t>
      </w:r>
      <w:r w:rsidR="00F71596" w:rsidRPr="00F71596">
        <w:t xml:space="preserve">ETSI </w:t>
      </w:r>
      <w:r w:rsidR="00445CD2">
        <w:t>requirements</w:t>
      </w:r>
      <w:r w:rsidR="00F71596" w:rsidRPr="00F71596">
        <w:t xml:space="preserve"> in </w:t>
      </w:r>
      <w:r w:rsidR="00445CD2">
        <w:t xml:space="preserve">the MSS </w:t>
      </w:r>
      <w:r w:rsidR="00F71596" w:rsidRPr="00F71596">
        <w:t>L-band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14AC144C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  <w:t>Rel-</w:t>
      </w:r>
      <w:r w:rsidR="002810CC" w:rsidRPr="00DD5217">
        <w:t>17</w:t>
      </w:r>
    </w:p>
    <w:p w14:paraId="2E4E044D" w14:textId="77777777" w:rsidR="00D309CC" w:rsidRDefault="00D309CC" w:rsidP="00D309CC">
      <w:pPr>
        <w:pStyle w:val="CH"/>
      </w:pPr>
      <w:r w:rsidRPr="00DD5217">
        <w:t>Document for:</w:t>
      </w:r>
      <w:r w:rsidRPr="00DD5217">
        <w:tab/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4541689" w14:textId="77777777" w:rsidR="004A02F6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EF487C">
        <w:rPr>
          <w:highlight w:val="yellow"/>
        </w:rPr>
        <w:fldChar w:fldCharType="begin"/>
      </w:r>
      <w:r w:rsidR="00EF487C">
        <w:instrText xml:space="preserve"> REF _Ref13820109 \r \h </w:instrText>
      </w:r>
      <w:r w:rsidR="00EF487C">
        <w:rPr>
          <w:highlight w:val="yellow"/>
        </w:rPr>
      </w:r>
      <w:r w:rsidR="00EF487C">
        <w:rPr>
          <w:highlight w:val="yellow"/>
        </w:rPr>
        <w:fldChar w:fldCharType="separate"/>
      </w:r>
      <w:r w:rsidR="00EF487C">
        <w:t>[1]</w:t>
      </w:r>
      <w:r w:rsidR="00EF487C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</w:t>
      </w:r>
    </w:p>
    <w:p w14:paraId="06E92CC7" w14:textId="6678A366" w:rsidR="008E7986" w:rsidRDefault="00CF4836" w:rsidP="00A25B38">
      <w:pPr>
        <w:jc w:val="both"/>
      </w:pPr>
      <w:r>
        <w:t xml:space="preserve">3GPP did not capture </w:t>
      </w:r>
      <w:r w:rsidR="004A02F6">
        <w:t>existing</w:t>
      </w:r>
      <w:r>
        <w:t xml:space="preserve"> ETSI </w:t>
      </w:r>
      <w:r w:rsidR="004A02F6">
        <w:t>requirements for all MSS L-ban</w:t>
      </w:r>
      <w:r w:rsidR="00DA078F">
        <w:t xml:space="preserve">ds. </w:t>
      </w:r>
      <w:r w:rsidR="006816F9">
        <w:t>And</w:t>
      </w:r>
      <w:r w:rsidR="00DA078F">
        <w:t xml:space="preserve"> as concluded during the RAN4#117 meeting, </w:t>
      </w:r>
      <w:r w:rsidR="006816F9">
        <w:t xml:space="preserve">the corresponding requirements should be added to the 3GPP specifications. </w:t>
      </w:r>
      <w:r>
        <w:t xml:space="preserve"> Thus, in</w:t>
      </w:r>
      <w:r w:rsidRPr="00CF4836">
        <w:t xml:space="preserve"> this discussion paper we present </w:t>
      </w:r>
      <w:r w:rsidR="000B5AA9">
        <w:t>further</w:t>
      </w:r>
      <w:r>
        <w:t xml:space="preserve"> </w:t>
      </w:r>
      <w:r w:rsidRPr="00CF4836">
        <w:t xml:space="preserve">overview of the existing ETSI requirements </w:t>
      </w:r>
      <w:r>
        <w:t xml:space="preserve">for the MSS </w:t>
      </w:r>
      <w:r w:rsidR="00F71596">
        <w:t>L-</w:t>
      </w:r>
      <w:r>
        <w:t>bands</w:t>
      </w:r>
      <w:r w:rsidR="00F71596">
        <w:t xml:space="preserve"> with associated power back-off analysis.</w:t>
      </w:r>
      <w:r>
        <w:t xml:space="preserve"> </w:t>
      </w:r>
    </w:p>
    <w:p w14:paraId="3A67921B" w14:textId="41D8CBDA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>MSS L-band</w:t>
      </w:r>
    </w:p>
    <w:p w14:paraId="5A9DEFDC" w14:textId="3492A955" w:rsidR="00AB337F" w:rsidRDefault="00AB337F" w:rsidP="00AB337F">
      <w:pPr>
        <w:jc w:val="both"/>
      </w:pPr>
      <w:r>
        <w:t xml:space="preserve">During the Rel-19 specification work for </w:t>
      </w:r>
      <w:r w:rsidR="003F7F1C">
        <w:t xml:space="preserve">the </w:t>
      </w:r>
      <w:r>
        <w:t>so-called combined L-bands</w:t>
      </w:r>
      <w:r w:rsidR="007C023B">
        <w:t>,</w:t>
      </w:r>
      <w:r>
        <w:t xml:space="preserve"> 3GPP already analysed applicable ETSI standards and performed the power back-off analysis for the 5G/NR based NTN technologies</w:t>
      </w:r>
      <w:r w:rsidR="00B650C4">
        <w:t>.</w:t>
      </w:r>
      <w:r>
        <w:t xml:space="preserve"> The outcome of that work was new NS flags that were defined for the NTN NR bands.</w:t>
      </w:r>
      <w:r w:rsidR="007C023B">
        <w:t xml:space="preserve"> However, there was no analysis performed for the IOT bands 255 (ETSI L-band sub-rage 1) and 253 (ETSI L-band sub-range 2). </w:t>
      </w:r>
    </w:p>
    <w:p w14:paraId="1513FA36" w14:textId="46B7E510" w:rsidR="00D325B6" w:rsidRDefault="00D325B6" w:rsidP="00D325B6">
      <w:pPr>
        <w:pStyle w:val="Heading2"/>
      </w:pPr>
      <w:r>
        <w:t>2.1</w:t>
      </w:r>
      <w:r>
        <w:tab/>
        <w:t xml:space="preserve">ETSI </w:t>
      </w:r>
      <w:r w:rsidR="001C3037">
        <w:t>emissions</w:t>
      </w:r>
      <w:r w:rsidR="0071582B">
        <w:t xml:space="preserve"> within the</w:t>
      </w:r>
      <w:r w:rsidR="007634A9">
        <w:t xml:space="preserve"> band</w:t>
      </w:r>
    </w:p>
    <w:p w14:paraId="6387B994" w14:textId="2CE173FC" w:rsidR="00552802" w:rsidRDefault="007C023B" w:rsidP="00AB337F">
      <w:pPr>
        <w:jc w:val="both"/>
      </w:pPr>
      <w:r>
        <w:t xml:space="preserve">The L-band in-band and out-of-band emission requirements are defined in ETSI </w:t>
      </w:r>
      <w:r w:rsidRPr="007C023B">
        <w:t>EN 301681</w:t>
      </w:r>
      <w:r>
        <w:t xml:space="preserve">. The emission </w:t>
      </w:r>
      <w:r w:rsidR="007634A9">
        <w:t xml:space="preserve">limits </w:t>
      </w:r>
      <w:r w:rsidR="007634A9" w:rsidRPr="007634A9">
        <w:rPr>
          <w:i/>
          <w:iCs/>
        </w:rPr>
        <w:t>within</w:t>
      </w:r>
      <w:r w:rsidR="007634A9">
        <w:t xml:space="preserve"> the band</w:t>
      </w:r>
      <w:r>
        <w:t xml:space="preserve"> can be found in Annex A, whereupon Figure </w:t>
      </w:r>
      <w:r w:rsidR="007C7F6C">
        <w:t>A</w:t>
      </w:r>
      <w:r>
        <w:t>-1 shows the super-position of th</w:t>
      </w:r>
      <w:r w:rsidR="00385187">
        <w:t>e ETSI</w:t>
      </w:r>
      <w:r>
        <w:t xml:space="preserve"> mask </w:t>
      </w:r>
      <w:r w:rsidR="00385187">
        <w:t xml:space="preserve">(pink) </w:t>
      </w:r>
      <w:r>
        <w:t>and the 3GPP NB-IOT mask</w:t>
      </w:r>
      <w:r w:rsidR="00385187">
        <w:t xml:space="preserve"> (blue)</w:t>
      </w:r>
      <w:r>
        <w:t xml:space="preserve">. </w:t>
      </w:r>
      <w:r w:rsidR="00552802">
        <w:t xml:space="preserve">In Figure </w:t>
      </w:r>
      <w:r w:rsidR="007C7F6C">
        <w:t>A</w:t>
      </w:r>
      <w:r w:rsidR="00552802">
        <w:t xml:space="preserve">-1 all emission levels are scaled to the same measurement unit expressed in dBm/MHz, whereupon we indicate both original and scaled values. </w:t>
      </w:r>
    </w:p>
    <w:p w14:paraId="68AC548D" w14:textId="1907E41F" w:rsidR="007C023B" w:rsidRDefault="003333B3" w:rsidP="00AB337F">
      <w:pPr>
        <w:jc w:val="both"/>
      </w:pPr>
      <w:r>
        <w:t>As can be seen from the figure, the 3GPP NB-IOT mask is more stringent except a small frequency range at offset of 100-150kHz, where the ETSI mask has more stringent emission levels.</w:t>
      </w:r>
      <w:r w:rsidR="00552802">
        <w:t xml:space="preserve"> </w:t>
      </w:r>
      <w:r w:rsidR="00140A0B">
        <w:t>Nevertheless</w:t>
      </w:r>
      <w:r w:rsidR="00541B74">
        <w:t>, w</w:t>
      </w:r>
      <w:r w:rsidR="00552802">
        <w:t>e conducted a</w:t>
      </w:r>
      <w:r w:rsidR="00D325B6">
        <w:t xml:space="preserve"> set of</w:t>
      </w:r>
      <w:r w:rsidR="00552802">
        <w:t xml:space="preserve"> additional power back-off simulations</w:t>
      </w:r>
      <w:r w:rsidR="00F50821">
        <w:t xml:space="preserve"> for the 15kHz SCS</w:t>
      </w:r>
      <w:r w:rsidR="00552802">
        <w:t xml:space="preserve">, </w:t>
      </w:r>
      <w:r w:rsidR="00541B74">
        <w:t xml:space="preserve">presented </w:t>
      </w:r>
      <w:r w:rsidR="00D325B6">
        <w:t xml:space="preserve">in </w:t>
      </w:r>
      <w:r w:rsidR="00541B74">
        <w:t>Figure 2</w:t>
      </w:r>
      <w:r w:rsidR="00785878">
        <w:t>.1</w:t>
      </w:r>
      <w:r w:rsidR="00541B74">
        <w:t>-</w:t>
      </w:r>
      <w:r w:rsidR="007C7F6C">
        <w:t>1</w:t>
      </w:r>
      <w:r w:rsidR="00541B74">
        <w:t>, from which we can see that irrespective of how many tones are allocate</w:t>
      </w:r>
      <w:r w:rsidR="00D325B6">
        <w:t>d</w:t>
      </w:r>
      <w:r w:rsidR="00541B74">
        <w:t xml:space="preserve"> – 1 tone or 12 tones – all emissions stay within the ETSI limits.</w:t>
      </w:r>
    </w:p>
    <w:p w14:paraId="43E87C9F" w14:textId="43CF9E30" w:rsidR="00D325B6" w:rsidRPr="00D325B6" w:rsidRDefault="00D325B6" w:rsidP="00D325B6">
      <w:pPr>
        <w:pStyle w:val="Observation"/>
      </w:pPr>
      <w:r w:rsidRPr="00D325B6">
        <w:t>Observation 1</w:t>
      </w:r>
      <w:r w:rsidR="00DC0D5D">
        <w:t>a</w:t>
      </w:r>
      <w:r w:rsidRPr="00D325B6">
        <w:t>:</w:t>
      </w:r>
      <w:r w:rsidRPr="00D325B6">
        <w:tab/>
        <w:t xml:space="preserve">While the ETSI </w:t>
      </w:r>
      <w:r w:rsidR="00DC0D5D">
        <w:t>emission limits within the band</w:t>
      </w:r>
      <w:r w:rsidRPr="00D325B6">
        <w:t xml:space="preserve"> </w:t>
      </w:r>
      <w:r w:rsidR="00DC0D5D">
        <w:t>are</w:t>
      </w:r>
      <w:r w:rsidRPr="00D325B6">
        <w:t xml:space="preserve"> more stringent for the offset at 100-150kHz, actual power back-off simulations indicate that all emissions stay within the ETSI limits</w:t>
      </w:r>
      <w:r w:rsidR="00F50821">
        <w:t xml:space="preserve"> for the 15kHz SCS case</w:t>
      </w:r>
      <w:r w:rsidRPr="00D325B6">
        <w:t>.</w:t>
      </w:r>
    </w:p>
    <w:p w14:paraId="6477BE35" w14:textId="77777777" w:rsidR="00D325B6" w:rsidRDefault="00D325B6" w:rsidP="00AB337F">
      <w:pPr>
        <w:jc w:val="both"/>
      </w:pPr>
    </w:p>
    <w:p w14:paraId="4C39F511" w14:textId="77777777" w:rsidR="00552802" w:rsidRDefault="00552802" w:rsidP="006B1F12"/>
    <w:p w14:paraId="73F37401" w14:textId="26D60B0B" w:rsidR="003333B3" w:rsidRDefault="00832408" w:rsidP="006B1F12">
      <w:r w:rsidRPr="00832408">
        <w:rPr>
          <w:noProof/>
        </w:rPr>
        <w:lastRenderedPageBreak/>
        <w:drawing>
          <wp:inline distT="0" distB="0" distL="0" distR="0" wp14:anchorId="6ACFAB39" wp14:editId="7C72704C">
            <wp:extent cx="2995200" cy="2422800"/>
            <wp:effectExtent l="0" t="0" r="2540" b="3175"/>
            <wp:docPr id="680017133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017133" name="Picture 1" descr="A graph of a frequency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4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832408">
        <w:rPr>
          <w:noProof/>
        </w:rPr>
        <w:drawing>
          <wp:inline distT="0" distB="0" distL="0" distR="0" wp14:anchorId="3E2A0AAB" wp14:editId="4D4B0281">
            <wp:extent cx="2901600" cy="2246400"/>
            <wp:effectExtent l="0" t="0" r="0" b="1905"/>
            <wp:docPr id="185012765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12765" name="Picture 1" descr="A graph of a frequency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1600" cy="22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E1E71" w14:textId="77777777" w:rsidR="001C3037" w:rsidRDefault="001C3037" w:rsidP="006B1F12"/>
    <w:p w14:paraId="1F5A9654" w14:textId="64CCFB6A" w:rsidR="006B1F12" w:rsidRDefault="00832408" w:rsidP="006B1F12">
      <w:r w:rsidRPr="00832408">
        <w:rPr>
          <w:noProof/>
        </w:rPr>
        <w:drawing>
          <wp:inline distT="0" distB="0" distL="0" distR="0" wp14:anchorId="26DC2E71" wp14:editId="4D477E81">
            <wp:extent cx="2930400" cy="2300400"/>
            <wp:effectExtent l="0" t="0" r="3810" b="0"/>
            <wp:docPr id="205371856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718560" name="Picture 1" descr="A graph of a frequenc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0400" cy="23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832408">
        <w:rPr>
          <w:noProof/>
        </w:rPr>
        <w:drawing>
          <wp:inline distT="0" distB="0" distL="0" distR="0" wp14:anchorId="153F09A2" wp14:editId="05012F60">
            <wp:extent cx="2995200" cy="2343600"/>
            <wp:effectExtent l="0" t="0" r="2540" b="6350"/>
            <wp:docPr id="509841229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41229" name="Picture 1" descr="A graph of a frequency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3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AF89" w14:textId="55E934BF" w:rsidR="006B1F12" w:rsidRDefault="006B1F12" w:rsidP="003F3E46">
      <w:pPr>
        <w:pStyle w:val="TF"/>
      </w:pPr>
      <w:r>
        <w:t>Figure 2.1-</w:t>
      </w:r>
      <w:r w:rsidR="00F57645">
        <w:t>1</w:t>
      </w:r>
      <w:r>
        <w:t xml:space="preserve">: Power back-off simulations for </w:t>
      </w:r>
      <w:r w:rsidR="00695CB8">
        <w:t xml:space="preserve">PC3 and </w:t>
      </w:r>
      <w:r>
        <w:t>the ETSI in-band mask</w:t>
      </w:r>
      <w:r w:rsidR="00832408">
        <w:t xml:space="preserve"> (1, 3, 6 and 12 tones)</w:t>
      </w:r>
      <w:r>
        <w:t>.</w:t>
      </w:r>
    </w:p>
    <w:p w14:paraId="16536290" w14:textId="77777777" w:rsidR="00F50821" w:rsidRDefault="00F50821" w:rsidP="00E72324"/>
    <w:p w14:paraId="5675D545" w14:textId="5B8F3D2E" w:rsidR="001C3037" w:rsidRDefault="00F50821" w:rsidP="00E72324">
      <w:r>
        <w:t xml:space="preserve">In addition to the 15kHz SCS case, we also simulated the 3.75kHz SCS, for </w:t>
      </w:r>
      <w:r w:rsidR="00BD7280">
        <w:t xml:space="preserve">which we observed a need to define some A-MPR. </w:t>
      </w:r>
      <w:r w:rsidR="00DE7153">
        <w:t>So</w:t>
      </w:r>
      <w:r w:rsidR="009040B4">
        <w:t>,</w:t>
      </w:r>
      <w:r w:rsidR="00DE7153">
        <w:t xml:space="preserve"> </w:t>
      </w:r>
      <w:r w:rsidR="006C14B9">
        <w:t>allocations at the edge of the channel will require up to 1.5dB A-MPR in this case.</w:t>
      </w:r>
    </w:p>
    <w:p w14:paraId="1CFA5E95" w14:textId="77777777" w:rsidR="00F50821" w:rsidRDefault="00F50821" w:rsidP="00E72324"/>
    <w:p w14:paraId="7B193C61" w14:textId="089764D1" w:rsidR="0051553A" w:rsidRPr="00D325B6" w:rsidRDefault="0051553A" w:rsidP="0051553A">
      <w:pPr>
        <w:pStyle w:val="Observation"/>
      </w:pPr>
      <w:r w:rsidRPr="00D325B6">
        <w:t>Observation 1</w:t>
      </w:r>
      <w:r>
        <w:t>b</w:t>
      </w:r>
      <w:r w:rsidRPr="00D325B6">
        <w:t>:</w:t>
      </w:r>
      <w:r w:rsidRPr="00D325B6">
        <w:tab/>
      </w:r>
      <w:r>
        <w:t xml:space="preserve">Unlike 15kHz SCS, 3.75kHz SCS will require </w:t>
      </w:r>
      <w:r w:rsidR="00B2658A">
        <w:t>up to 1.5dB</w:t>
      </w:r>
      <w:r>
        <w:t xml:space="preserve"> A-MPR for</w:t>
      </w:r>
      <w:r w:rsidR="009F684C">
        <w:t xml:space="preserve"> </w:t>
      </w:r>
      <w:r w:rsidR="00B2658A">
        <w:t>allocations close to</w:t>
      </w:r>
      <w:r w:rsidR="009F684C">
        <w:t xml:space="preserve"> the edge of the channel</w:t>
      </w:r>
      <w:r>
        <w:t>.</w:t>
      </w:r>
    </w:p>
    <w:p w14:paraId="24375DE1" w14:textId="77777777" w:rsidR="0051553A" w:rsidRDefault="0051553A" w:rsidP="00E72324"/>
    <w:p w14:paraId="559E6A04" w14:textId="6FE49954" w:rsidR="00DC0D5D" w:rsidRDefault="00DC0D5D" w:rsidP="00DC0D5D">
      <w:pPr>
        <w:jc w:val="both"/>
      </w:pPr>
      <w:r>
        <w:t xml:space="preserve">It is worth noting that according to ETSI </w:t>
      </w:r>
      <w:r w:rsidRPr="007C023B">
        <w:t>EN 301681</w:t>
      </w:r>
      <w:r>
        <w:t xml:space="preserve"> same in-band mask is assumed for ETSI sub-range 1 and sub-range 2, i.e. IOT bands 255 and 253, respectively. Thus, </w:t>
      </w:r>
      <w:r w:rsidR="004C4566">
        <w:t xml:space="preserve">same conclusions can be applied </w:t>
      </w:r>
      <w:r>
        <w:t>for the IOT bands 255 and 253.</w:t>
      </w:r>
    </w:p>
    <w:p w14:paraId="4944CDE5" w14:textId="356530B7" w:rsidR="00DC0D5D" w:rsidRPr="00D325B6" w:rsidRDefault="00DC0D5D" w:rsidP="00DC0D5D">
      <w:pPr>
        <w:pStyle w:val="Observation"/>
      </w:pPr>
      <w:r w:rsidRPr="00D325B6">
        <w:t>Observation 1</w:t>
      </w:r>
      <w:r w:rsidR="0051553A">
        <w:t>c</w:t>
      </w:r>
      <w:r w:rsidRPr="00D325B6">
        <w:t>:</w:t>
      </w:r>
      <w:r w:rsidRPr="00D325B6">
        <w:tab/>
        <w:t xml:space="preserve">Same ETSI mask from EN 301681 is assumed for </w:t>
      </w:r>
      <w:r w:rsidR="004C4566">
        <w:t xml:space="preserve">emission limits within </w:t>
      </w:r>
      <w:r w:rsidRPr="00D325B6">
        <w:t>sub-range 1 and sub-range 2, i.e. IOT bands 255 and 253</w:t>
      </w:r>
      <w:r w:rsidR="0051553A">
        <w:t>, meaning that the same A-MPR values can be adopted for both bands.</w:t>
      </w:r>
    </w:p>
    <w:p w14:paraId="75C65B03" w14:textId="77777777" w:rsidR="00DC0D5D" w:rsidRDefault="00DC0D5D" w:rsidP="00E72324"/>
    <w:p w14:paraId="339793E1" w14:textId="4032266C" w:rsidR="001C3037" w:rsidRDefault="001C3037" w:rsidP="001C3037">
      <w:pPr>
        <w:pStyle w:val="Heading2"/>
      </w:pPr>
      <w:r>
        <w:lastRenderedPageBreak/>
        <w:t>2.2</w:t>
      </w:r>
      <w:r>
        <w:tab/>
        <w:t>ETSI emissions</w:t>
      </w:r>
      <w:r w:rsidR="00284CAF">
        <w:t xml:space="preserve"> outside band boundaries</w:t>
      </w:r>
    </w:p>
    <w:p w14:paraId="2491293E" w14:textId="737F946E" w:rsidR="00CE3A08" w:rsidRDefault="00CE3A08" w:rsidP="00E72324">
      <w:r>
        <w:t xml:space="preserve">ETSI </w:t>
      </w:r>
      <w:r w:rsidRPr="007C023B">
        <w:t>EN 301681</w:t>
      </w:r>
      <w:r>
        <w:t xml:space="preserve"> follows different approaches while defining emission limits </w:t>
      </w:r>
      <w:r w:rsidR="00577451">
        <w:t xml:space="preserve">for frequencies outside the boundaries of </w:t>
      </w:r>
      <w:r>
        <w:t>the sub-range</w:t>
      </w:r>
      <w:r w:rsidR="006E1154">
        <w:t xml:space="preserve"> 1 and 2</w:t>
      </w:r>
      <w:r>
        <w:t>:</w:t>
      </w:r>
    </w:p>
    <w:p w14:paraId="55975C51" w14:textId="2552987E" w:rsidR="00F55E6B" w:rsidRDefault="00CE3A08" w:rsidP="00CE3A08">
      <w:pPr>
        <w:pStyle w:val="B1"/>
      </w:pPr>
      <w:r>
        <w:t>-</w:t>
      </w:r>
      <w:r>
        <w:tab/>
        <w:t xml:space="preserve">Sub-range 1 (band 255): The lower </w:t>
      </w:r>
      <w:r w:rsidR="00F55E6B">
        <w:t xml:space="preserve">edge </w:t>
      </w:r>
      <w:r>
        <w:t xml:space="preserve">range emission limits start with a stringent limit of -10dBm/30kHz, i.e. 5dBm/MHz, which will </w:t>
      </w:r>
      <w:r w:rsidR="006E1154">
        <w:t>cause</w:t>
      </w:r>
      <w:r>
        <w:t xml:space="preserve"> power back-off for the NB-IOT channel if placed at the lower edge of the band</w:t>
      </w:r>
      <w:r w:rsidR="00924C65">
        <w:t xml:space="preserve"> (refer to Figure B-1 in Annex)</w:t>
      </w:r>
      <w:r>
        <w:t xml:space="preserve">. </w:t>
      </w:r>
    </w:p>
    <w:p w14:paraId="5F74D608" w14:textId="4054911F" w:rsidR="00300BF3" w:rsidRDefault="00F55E6B" w:rsidP="0052216E">
      <w:pPr>
        <w:pStyle w:val="B1"/>
      </w:pPr>
      <w:r>
        <w:t>-</w:t>
      </w:r>
      <w:r>
        <w:tab/>
        <w:t xml:space="preserve">Sub-range 2 (band 253): Both lower and the upper edge </w:t>
      </w:r>
      <w:r w:rsidR="00EA4C9E">
        <w:t xml:space="preserve">out-of-band </w:t>
      </w:r>
      <w:r>
        <w:t xml:space="preserve">emission limits are based on the ETSI in-band emission mask and thus would not trigger any additional constraints. </w:t>
      </w:r>
    </w:p>
    <w:p w14:paraId="71B0A360" w14:textId="14EFB791" w:rsidR="00146425" w:rsidRDefault="00300BF3" w:rsidP="00300BF3">
      <w:pPr>
        <w:pStyle w:val="Observation"/>
      </w:pPr>
      <w:r w:rsidRPr="00300BF3">
        <w:t xml:space="preserve">Observation </w:t>
      </w:r>
      <w:r>
        <w:t>2</w:t>
      </w:r>
      <w:r w:rsidRPr="00300BF3">
        <w:t>a:</w:t>
      </w:r>
      <w:r w:rsidRPr="00300BF3">
        <w:tab/>
      </w:r>
      <w:r>
        <w:t xml:space="preserve">Sub-range 1 </w:t>
      </w:r>
      <w:r w:rsidR="00B13555">
        <w:t xml:space="preserve">(band 255) </w:t>
      </w:r>
      <w:r>
        <w:t xml:space="preserve">lower edge strict emission requirements </w:t>
      </w:r>
      <w:r w:rsidR="001162BE">
        <w:t xml:space="preserve">will </w:t>
      </w:r>
      <w:r w:rsidR="00915539">
        <w:t>require power back-off</w:t>
      </w:r>
      <w:r w:rsidR="00CC6DE1">
        <w:t>.</w:t>
      </w:r>
    </w:p>
    <w:p w14:paraId="32780EDB" w14:textId="1A8AE698" w:rsidR="00300BF3" w:rsidRPr="00300BF3" w:rsidRDefault="00146425" w:rsidP="00300BF3">
      <w:pPr>
        <w:pStyle w:val="Observation"/>
      </w:pPr>
      <w:r>
        <w:t>Observation 2b:</w:t>
      </w:r>
      <w:r>
        <w:tab/>
        <w:t xml:space="preserve">Sub-range 1 (band 255) upper edge </w:t>
      </w:r>
      <w:r w:rsidR="00300BF3">
        <w:t xml:space="preserve">emission limits are based on the in-band mask and thus </w:t>
      </w:r>
      <w:r w:rsidR="00915539">
        <w:t>will</w:t>
      </w:r>
      <w:r w:rsidR="00300BF3">
        <w:t xml:space="preserve"> not require any power back-off.</w:t>
      </w:r>
    </w:p>
    <w:p w14:paraId="68CD991E" w14:textId="7B44CCE2" w:rsidR="00300BF3" w:rsidRPr="00300BF3" w:rsidRDefault="00300BF3" w:rsidP="00300BF3">
      <w:pPr>
        <w:pStyle w:val="Observation"/>
      </w:pPr>
      <w:r w:rsidRPr="00300BF3">
        <w:t xml:space="preserve">Observation </w:t>
      </w:r>
      <w:r w:rsidR="00005BED">
        <w:t>2</w:t>
      </w:r>
      <w:r w:rsidR="00217DEB">
        <w:t>c</w:t>
      </w:r>
      <w:r w:rsidRPr="00300BF3">
        <w:t>:</w:t>
      </w:r>
      <w:r w:rsidRPr="00300BF3">
        <w:tab/>
      </w:r>
      <w:r>
        <w:t xml:space="preserve">Sub-range 2 </w:t>
      </w:r>
      <w:r w:rsidR="00B13555">
        <w:t xml:space="preserve">(band 253) </w:t>
      </w:r>
      <w:r w:rsidR="001B009A">
        <w:t>l</w:t>
      </w:r>
      <w:r>
        <w:t xml:space="preserve">ower and upper edge emission requirements are based on the in-band mask and thus </w:t>
      </w:r>
      <w:r w:rsidR="001162BE">
        <w:t>will</w:t>
      </w:r>
      <w:r>
        <w:t xml:space="preserve"> not require any power back-off.</w:t>
      </w:r>
    </w:p>
    <w:p w14:paraId="7FF89FE0" w14:textId="2043EC51" w:rsidR="00E72324" w:rsidRDefault="001954BE" w:rsidP="00E72324">
      <w:r>
        <w:t xml:space="preserve"> </w:t>
      </w:r>
    </w:p>
    <w:p w14:paraId="4BF413E3" w14:textId="479298A3" w:rsidR="00FE2446" w:rsidRDefault="00FE2446" w:rsidP="00E72324">
      <w:r>
        <w:t xml:space="preserve">Referring to </w:t>
      </w:r>
      <w:r w:rsidR="009D1608">
        <w:t xml:space="preserve">the </w:t>
      </w:r>
      <w:r>
        <w:t xml:space="preserve">previous considerations on the band 255 lower edge emission limits </w:t>
      </w:r>
      <w:r w:rsidR="007A6029">
        <w:t>(Observation 2a), it is worth noting that 3GPP has solved this problem by "blanking" the corresponding NB-IOT channel</w:t>
      </w:r>
      <w:r w:rsidR="004D0876">
        <w:t xml:space="preserve"> residing at the band </w:t>
      </w:r>
      <w:r w:rsidR="00927E42">
        <w:t xml:space="preserve">lower </w:t>
      </w:r>
      <w:r w:rsidR="004D0876">
        <w:t xml:space="preserve">edge. However, the corresponding </w:t>
      </w:r>
      <w:r w:rsidR="00E93612">
        <w:t xml:space="preserve">restriction is captured as a generic statement for band 255 not accounting for the fact that it is not needed for band 255 operated under the FCC rules. </w:t>
      </w:r>
      <w:r w:rsidR="003D136F">
        <w:t xml:space="preserve">Furthermore, as presented in Figure 2.2-1 below, no A-MPR is needed when the NB-IOT channel resides at the lower edge of the band, but the network schedules a </w:t>
      </w:r>
      <w:r w:rsidR="006E70C6">
        <w:t xml:space="preserve">rightmost </w:t>
      </w:r>
      <w:r w:rsidR="003D136F">
        <w:t xml:space="preserve">subset of sub-carriers </w:t>
      </w:r>
      <w:r w:rsidR="00C76F24">
        <w:t xml:space="preserve">within the NB-IOT channel. </w:t>
      </w:r>
      <w:r w:rsidR="008506C6">
        <w:t>For instance, the network can allocate 6 tones at position 6, i.e., the rightmost allocation, whereupon no A-MPR is needed. Similarly, the network can schedule 3 tones at position 3 or 1 tone at position 2. Thus,</w:t>
      </w:r>
      <w:r w:rsidR="00385D6A">
        <w:t xml:space="preserve"> this NB-IOT channel still can be used under the ETSI rules.</w:t>
      </w:r>
      <w:r w:rsidR="003D136F">
        <w:t xml:space="preserve"> </w:t>
      </w:r>
      <w:r>
        <w:t xml:space="preserve"> </w:t>
      </w:r>
    </w:p>
    <w:p w14:paraId="334E905F" w14:textId="5E7C07A5" w:rsidR="004A2499" w:rsidRDefault="004A2499" w:rsidP="004A2499">
      <w:pPr>
        <w:pStyle w:val="Observation"/>
      </w:pPr>
      <w:r w:rsidRPr="00300BF3">
        <w:t xml:space="preserve">Observation </w:t>
      </w:r>
      <w:r>
        <w:t>2d</w:t>
      </w:r>
      <w:r w:rsidRPr="00300BF3">
        <w:t>:</w:t>
      </w:r>
      <w:r w:rsidRPr="00300BF3">
        <w:tab/>
      </w:r>
      <w:r>
        <w:t xml:space="preserve">The IOT band 255 lower-most NB-IOT channel does not need to be blanked </w:t>
      </w:r>
      <w:r w:rsidR="004E09FC">
        <w:t>and still can be used with the FCC rules</w:t>
      </w:r>
      <w:r>
        <w:t>.</w:t>
      </w:r>
    </w:p>
    <w:p w14:paraId="73945399" w14:textId="20EAE9F6" w:rsidR="00B87EFE" w:rsidRPr="00300BF3" w:rsidRDefault="00B87EFE" w:rsidP="004A2499">
      <w:pPr>
        <w:pStyle w:val="Observation"/>
      </w:pPr>
      <w:r w:rsidRPr="00300BF3">
        <w:t xml:space="preserve">Observation </w:t>
      </w:r>
      <w:r>
        <w:t>2e</w:t>
      </w:r>
      <w:r w:rsidRPr="00300BF3">
        <w:t>:</w:t>
      </w:r>
      <w:r w:rsidRPr="00300BF3">
        <w:tab/>
      </w:r>
      <w:r>
        <w:t xml:space="preserve">The IOT band 255 lower-most NB-IOT channel can be used with no A-MPR under the ETSI rules if the network schedules </w:t>
      </w:r>
      <w:r w:rsidR="008942BB">
        <w:t>a rightmost subset of sub-carriers within the NB-IOT channel</w:t>
      </w:r>
      <w:r>
        <w:t>.</w:t>
      </w:r>
    </w:p>
    <w:p w14:paraId="2F218095" w14:textId="77777777" w:rsidR="004A2499" w:rsidRDefault="004A2499" w:rsidP="0086094D">
      <w:pPr>
        <w:pStyle w:val="Proposal"/>
      </w:pPr>
    </w:p>
    <w:p w14:paraId="62E2E073" w14:textId="4077CB0A" w:rsidR="008E7986" w:rsidRDefault="00592A7A" w:rsidP="0086094D">
      <w:pPr>
        <w:pStyle w:val="Proposal"/>
      </w:pPr>
      <w:r w:rsidRPr="00592A7A">
        <w:rPr>
          <w:noProof/>
        </w:rPr>
        <w:drawing>
          <wp:inline distT="0" distB="0" distL="0" distR="0" wp14:anchorId="23AE4EFE" wp14:editId="162B0730">
            <wp:extent cx="2898000" cy="2289600"/>
            <wp:effectExtent l="0" t="0" r="0" b="0"/>
            <wp:docPr id="162665390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653900" name="Picture 1" descr="A graph of a frequency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753" w:rsidRPr="003E7753">
        <w:t xml:space="preserve"> </w:t>
      </w:r>
      <w:r>
        <w:t xml:space="preserve">  </w:t>
      </w:r>
      <w:r w:rsidRPr="00592A7A">
        <w:rPr>
          <w:noProof/>
        </w:rPr>
        <w:drawing>
          <wp:inline distT="0" distB="0" distL="0" distR="0" wp14:anchorId="4EB52489" wp14:editId="206B2BEC">
            <wp:extent cx="2898000" cy="2286000"/>
            <wp:effectExtent l="0" t="0" r="0" b="0"/>
            <wp:docPr id="34337281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372810" name="Picture 1" descr="A graph of a frequency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D5A70" w14:textId="152889CE" w:rsidR="002D7ADA" w:rsidRDefault="002D7ADA" w:rsidP="00B83134">
      <w:pPr>
        <w:pStyle w:val="Proposal"/>
        <w:jc w:val="center"/>
      </w:pPr>
      <w:r w:rsidRPr="002D7ADA">
        <w:rPr>
          <w:noProof/>
        </w:rPr>
        <w:lastRenderedPageBreak/>
        <w:drawing>
          <wp:inline distT="0" distB="0" distL="0" distR="0" wp14:anchorId="4F3B59A2" wp14:editId="7988FABF">
            <wp:extent cx="2898000" cy="2293200"/>
            <wp:effectExtent l="0" t="0" r="0" b="5715"/>
            <wp:docPr id="1481328675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328675" name="Picture 1" descr="A graph of a frequency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03E63" w14:textId="4E128007" w:rsidR="002D7ADA" w:rsidRDefault="002D7ADA" w:rsidP="002D7ADA">
      <w:pPr>
        <w:pStyle w:val="TF"/>
      </w:pPr>
      <w:r>
        <w:t>Figure 2.1-2: Power back-off simulations for PC3 and the ETSI mask</w:t>
      </w:r>
      <w:r w:rsidR="00401581">
        <w:t xml:space="preserve"> for the lower edge</w:t>
      </w:r>
      <w:r w:rsidR="00EE7737">
        <w:t xml:space="preserve"> </w:t>
      </w:r>
      <w:r w:rsidR="00173873">
        <w:t xml:space="preserve">NB-IOT </w:t>
      </w:r>
      <w:r w:rsidR="00EE7737">
        <w:t>channel</w:t>
      </w:r>
      <w:r w:rsidR="00173873">
        <w:t xml:space="preserve"> </w:t>
      </w:r>
      <w:r>
        <w:t>(1</w:t>
      </w:r>
      <w:r w:rsidR="00B83134">
        <w:t>-tone</w:t>
      </w:r>
      <w:r w:rsidR="00401581">
        <w:t>@pos2</w:t>
      </w:r>
      <w:r>
        <w:t>, 3</w:t>
      </w:r>
      <w:r w:rsidR="00B83134">
        <w:t>-tone@pos3</w:t>
      </w:r>
      <w:r>
        <w:t xml:space="preserve">, </w:t>
      </w:r>
      <w:r w:rsidR="00401581">
        <w:t xml:space="preserve">and </w:t>
      </w:r>
      <w:r>
        <w:t>6</w:t>
      </w:r>
      <w:r w:rsidR="00B83134">
        <w:t>-tone@pos6</w:t>
      </w:r>
      <w:r>
        <w:t>)</w:t>
      </w:r>
      <w:r w:rsidR="00B83134">
        <w:t>.</w:t>
      </w:r>
    </w:p>
    <w:p w14:paraId="7D636DB2" w14:textId="77777777" w:rsidR="002D7ADA" w:rsidRDefault="002D7ADA" w:rsidP="00E158C5">
      <w:pPr>
        <w:pStyle w:val="Proposal"/>
        <w:ind w:left="0" w:firstLine="0"/>
      </w:pPr>
    </w:p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0AB8ECB8" w14:textId="204E708E" w:rsidR="00007A5E" w:rsidRDefault="00C94838" w:rsidP="00E72324">
      <w:r>
        <w:t xml:space="preserve">In this discussion paper we presented our considerations on </w:t>
      </w:r>
      <w:r w:rsidR="00695CB8">
        <w:t>the</w:t>
      </w:r>
      <w:r>
        <w:t xml:space="preserve"> ETSI requirements for the L-</w:t>
      </w:r>
      <w:r w:rsidR="00695CB8">
        <w:t>band(s)</w:t>
      </w:r>
      <w:r>
        <w:t xml:space="preserve"> and </w:t>
      </w:r>
      <w:r w:rsidR="00695CB8">
        <w:t xml:space="preserve">whether they can be met by the </w:t>
      </w:r>
      <w:r w:rsidR="003D514B">
        <w:t>NB-</w:t>
      </w:r>
      <w:r w:rsidR="00695CB8">
        <w:t>IOT</w:t>
      </w:r>
      <w:r w:rsidR="00293B65">
        <w:t>.</w:t>
      </w:r>
      <w:r w:rsidR="00695CB8">
        <w:t xml:space="preserve"> Based on the presented analysis and additional power back-off simulations </w:t>
      </w:r>
      <w:r w:rsidR="00007A5E">
        <w:t xml:space="preserve">conducted for the ETSI in-band mask, our conclusion is that no additional power back-off </w:t>
      </w:r>
      <w:r w:rsidR="0008061E">
        <w:t>is needed</w:t>
      </w:r>
      <w:r w:rsidR="00007A5E">
        <w:t xml:space="preserve"> for the IOT bands 255 and 253</w:t>
      </w:r>
      <w:r w:rsidR="005F2AD9">
        <w:t xml:space="preserve"> in case of 15kHz SCS, but 3.75kHz SCS may require additional A-MPR</w:t>
      </w:r>
      <w:r w:rsidR="00007A5E">
        <w:t>.</w:t>
      </w:r>
    </w:p>
    <w:p w14:paraId="130BDD60" w14:textId="77777777" w:rsidR="00673BB5" w:rsidRPr="00D325B6" w:rsidRDefault="00673BB5" w:rsidP="00673BB5">
      <w:pPr>
        <w:pStyle w:val="Observation"/>
      </w:pPr>
      <w:r w:rsidRPr="00D325B6">
        <w:t>Observation 1</w:t>
      </w:r>
      <w:r>
        <w:t>a</w:t>
      </w:r>
      <w:r w:rsidRPr="00D325B6">
        <w:t>:</w:t>
      </w:r>
      <w:r w:rsidRPr="00D325B6">
        <w:tab/>
        <w:t xml:space="preserve">While the ETSI </w:t>
      </w:r>
      <w:r>
        <w:t>emission limits within the band</w:t>
      </w:r>
      <w:r w:rsidRPr="00D325B6">
        <w:t xml:space="preserve"> </w:t>
      </w:r>
      <w:r>
        <w:t>are</w:t>
      </w:r>
      <w:r w:rsidRPr="00D325B6">
        <w:t xml:space="preserve"> more stringent for the offset at 100-150kHz, actual power back-off simulations indicate that all emissions stay within the ETSI limits</w:t>
      </w:r>
      <w:r>
        <w:t xml:space="preserve"> for the 15kHz SCS case</w:t>
      </w:r>
      <w:r w:rsidRPr="00D325B6">
        <w:t>.</w:t>
      </w:r>
    </w:p>
    <w:p w14:paraId="4C364D84" w14:textId="77777777" w:rsidR="00FC53CC" w:rsidRPr="00D325B6" w:rsidRDefault="00FC53CC" w:rsidP="00FC53CC">
      <w:pPr>
        <w:pStyle w:val="Observation"/>
      </w:pPr>
      <w:r w:rsidRPr="00D325B6">
        <w:t>Observation 1</w:t>
      </w:r>
      <w:r>
        <w:t>b</w:t>
      </w:r>
      <w:r w:rsidRPr="00D325B6">
        <w:t>:</w:t>
      </w:r>
      <w:r w:rsidRPr="00D325B6">
        <w:tab/>
      </w:r>
      <w:r>
        <w:t>Unlike 15kHz SCS, 3.75kHz SCS will require up to 1.5dB A-MPR for allocations close to the edge of the channel.</w:t>
      </w:r>
    </w:p>
    <w:p w14:paraId="32F61024" w14:textId="164151DA" w:rsidR="00673BB5" w:rsidRPr="00D325B6" w:rsidRDefault="00673BB5" w:rsidP="00673BB5">
      <w:pPr>
        <w:pStyle w:val="Observation"/>
      </w:pPr>
      <w:r w:rsidRPr="00D325B6">
        <w:t>Observation 1</w:t>
      </w:r>
      <w:r>
        <w:t>c</w:t>
      </w:r>
      <w:r w:rsidRPr="00D325B6">
        <w:t>:</w:t>
      </w:r>
      <w:r w:rsidRPr="00D325B6">
        <w:tab/>
        <w:t xml:space="preserve">Same ETSI mask from EN 301681 is assumed for </w:t>
      </w:r>
      <w:r>
        <w:t xml:space="preserve">emission limits within </w:t>
      </w:r>
      <w:r w:rsidRPr="00D325B6">
        <w:t>sub-range 1 and sub-range 2, i.e. IOT bands 255 and 253</w:t>
      </w:r>
      <w:r>
        <w:t>, meaning that the same A-MPR values can be adopted for both bands.</w:t>
      </w:r>
    </w:p>
    <w:p w14:paraId="02E9AECA" w14:textId="77777777" w:rsidR="001162BE" w:rsidRDefault="001162BE" w:rsidP="001162BE">
      <w:pPr>
        <w:pStyle w:val="Observation"/>
      </w:pPr>
      <w:r w:rsidRPr="00300BF3">
        <w:t xml:space="preserve">Observation </w:t>
      </w:r>
      <w:r>
        <w:t>2</w:t>
      </w:r>
      <w:r w:rsidRPr="00300BF3">
        <w:t>a:</w:t>
      </w:r>
      <w:r w:rsidRPr="00300BF3">
        <w:tab/>
      </w:r>
      <w:r>
        <w:t>Sub-range 1 (band 255) lower edge strict emission requirements will require power back-off.</w:t>
      </w:r>
    </w:p>
    <w:p w14:paraId="59E32711" w14:textId="77777777" w:rsidR="001162BE" w:rsidRPr="00300BF3" w:rsidRDefault="001162BE" w:rsidP="001162BE">
      <w:pPr>
        <w:pStyle w:val="Observation"/>
      </w:pPr>
      <w:r>
        <w:t>Observation 2b:</w:t>
      </w:r>
      <w:r>
        <w:tab/>
        <w:t>Sub-range 1 (band 255) upper edge emission limits are based on the in-band mask and thus will not require any power back-off.</w:t>
      </w:r>
    </w:p>
    <w:p w14:paraId="7A5E8D0B" w14:textId="77777777" w:rsidR="001162BE" w:rsidRDefault="001162BE" w:rsidP="001162BE">
      <w:pPr>
        <w:pStyle w:val="Observation"/>
      </w:pPr>
      <w:r w:rsidRPr="00300BF3">
        <w:t xml:space="preserve">Observation </w:t>
      </w:r>
      <w:r>
        <w:t>2c</w:t>
      </w:r>
      <w:r w:rsidRPr="00300BF3">
        <w:t>:</w:t>
      </w:r>
      <w:r w:rsidRPr="00300BF3">
        <w:tab/>
      </w:r>
      <w:r>
        <w:t>Sub-range 2 (band 253) lower and upper edge emission requirements are based on the in-band mask and thus will not require any power back-off.</w:t>
      </w:r>
    </w:p>
    <w:p w14:paraId="0EAD3C6B" w14:textId="77777777" w:rsidR="00E158C5" w:rsidRDefault="00E158C5" w:rsidP="00E158C5">
      <w:pPr>
        <w:pStyle w:val="Observation"/>
      </w:pPr>
      <w:r w:rsidRPr="00300BF3">
        <w:t xml:space="preserve">Observation </w:t>
      </w:r>
      <w:r>
        <w:t>2d</w:t>
      </w:r>
      <w:r w:rsidRPr="00300BF3">
        <w:t>:</w:t>
      </w:r>
      <w:r w:rsidRPr="00300BF3">
        <w:tab/>
      </w:r>
      <w:r>
        <w:t>The IOT band 255 lower-most NB-IOT channel does not need to be blanked and still can be used with the FCC rules.</w:t>
      </w:r>
    </w:p>
    <w:p w14:paraId="26F37D8F" w14:textId="77777777" w:rsidR="00E158C5" w:rsidRPr="00300BF3" w:rsidRDefault="00E158C5" w:rsidP="00E158C5">
      <w:pPr>
        <w:pStyle w:val="Observation"/>
      </w:pPr>
      <w:r w:rsidRPr="00300BF3">
        <w:t xml:space="preserve">Observation </w:t>
      </w:r>
      <w:r>
        <w:t>2e</w:t>
      </w:r>
      <w:r w:rsidRPr="00300BF3">
        <w:t>:</w:t>
      </w:r>
      <w:r w:rsidRPr="00300BF3">
        <w:tab/>
      </w:r>
      <w:r>
        <w:t>The IOT band 255 lower-most NB-IOT channel can be used with no A-MPR under the ETSI rules if the network schedules a rightmost subset of sub-carriers within the NB-IOT channel.</w:t>
      </w:r>
    </w:p>
    <w:p w14:paraId="05CC6F0A" w14:textId="135A2F15" w:rsidR="005E69AE" w:rsidRDefault="005E69AE" w:rsidP="0062595A">
      <w:pPr>
        <w:spacing w:after="0"/>
      </w:pPr>
    </w:p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2FB0F042" w14:textId="77777777" w:rsidR="009710AA" w:rsidRPr="004D3578" w:rsidRDefault="009710AA" w:rsidP="009710AA">
      <w:pPr>
        <w:pStyle w:val="EX"/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bookmarkEnd w:id="0"/>
    <w:p w14:paraId="2C7BC95E" w14:textId="5BFC2CC0" w:rsidR="00DE1088" w:rsidRDefault="00DE1088">
      <w:pPr>
        <w:spacing w:after="0"/>
      </w:pPr>
      <w:r>
        <w:br w:type="page"/>
      </w:r>
    </w:p>
    <w:p w14:paraId="744DAD1F" w14:textId="42F69B1A" w:rsidR="00080512" w:rsidRDefault="00DE1088" w:rsidP="00DE1088">
      <w:pPr>
        <w:pStyle w:val="Heading8"/>
      </w:pPr>
      <w:r>
        <w:lastRenderedPageBreak/>
        <w:t>Annex A:</w:t>
      </w:r>
      <w:r>
        <w:tab/>
        <w:t xml:space="preserve">ETSI </w:t>
      </w:r>
      <w:r w:rsidR="006E34A4" w:rsidRPr="006E34A4">
        <w:t>EN 301681</w:t>
      </w:r>
      <w:r w:rsidR="006E34A4">
        <w:t xml:space="preserve"> </w:t>
      </w:r>
      <w:r>
        <w:t xml:space="preserve">emission </w:t>
      </w:r>
      <w:r w:rsidR="000A74CE">
        <w:t>limits within the band</w:t>
      </w:r>
    </w:p>
    <w:p w14:paraId="23E5F46D" w14:textId="77777777" w:rsidR="00DE1088" w:rsidRDefault="00DE1088" w:rsidP="00DE1088"/>
    <w:p w14:paraId="114D3D75" w14:textId="1C70496C" w:rsidR="00017B83" w:rsidRDefault="007C7F6C" w:rsidP="00017B83">
      <w:pPr>
        <w:pStyle w:val="TH"/>
      </w:pPr>
      <w:r>
        <w:t xml:space="preserve">Table A-1: ETSI </w:t>
      </w:r>
      <w:r w:rsidR="000A74CE">
        <w:t>emission limits within the band</w:t>
      </w:r>
      <w:r>
        <w:t xml:space="preserve"> </w:t>
      </w:r>
      <w:r w:rsidR="00E66D25">
        <w:t>(</w:t>
      </w:r>
      <w:r>
        <w:t>for sub-range 1 and sub-range 2</w:t>
      </w:r>
      <w:r w:rsidR="00E66D25">
        <w:t>)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8"/>
        <w:gridCol w:w="3769"/>
        <w:gridCol w:w="2015"/>
        <w:gridCol w:w="1909"/>
      </w:tblGrid>
      <w:tr w:rsidR="00017B83" w:rsidRPr="00715883" w14:paraId="716FF6AE" w14:textId="77777777" w:rsidTr="00D1215C">
        <w:trPr>
          <w:trHeight w:val="518"/>
        </w:trPr>
        <w:tc>
          <w:tcPr>
            <w:tcW w:w="1938" w:type="dxa"/>
            <w:vAlign w:val="center"/>
          </w:tcPr>
          <w:p w14:paraId="5B3B7B88" w14:textId="77777777" w:rsidR="00017B83" w:rsidRPr="00715883" w:rsidRDefault="00017B83" w:rsidP="00D1215C">
            <w:pPr>
              <w:pStyle w:val="TAH"/>
            </w:pPr>
            <w:proofErr w:type="spellStart"/>
            <w:r w:rsidRPr="00715883">
              <w:rPr>
                <w:rFonts w:hint="eastAsia"/>
              </w:rPr>
              <w:t>Δ</w:t>
            </w:r>
            <w:r w:rsidRPr="00715883">
              <w:t>f</w:t>
            </w:r>
            <w:r w:rsidRPr="00715883">
              <w:rPr>
                <w:vertAlign w:val="subscript"/>
              </w:rPr>
              <w:t>OOB</w:t>
            </w:r>
            <w:proofErr w:type="spellEnd"/>
            <w:r w:rsidRPr="00715883">
              <w:rPr>
                <w:vertAlign w:val="subscript"/>
              </w:rPr>
              <w:t xml:space="preserve"> </w:t>
            </w:r>
            <w:r w:rsidRPr="00715883">
              <w:t>(kHz)</w:t>
            </w:r>
          </w:p>
        </w:tc>
        <w:tc>
          <w:tcPr>
            <w:tcW w:w="3769" w:type="dxa"/>
            <w:vAlign w:val="center"/>
          </w:tcPr>
          <w:p w14:paraId="13FEFBEE" w14:textId="77777777" w:rsidR="00017B83" w:rsidRPr="00715883" w:rsidRDefault="00017B83" w:rsidP="00D1215C">
            <w:pPr>
              <w:pStyle w:val="TAH"/>
            </w:pPr>
            <w:r w:rsidRPr="00715883">
              <w:t>Spectrum emission limit (dBm)</w:t>
            </w:r>
          </w:p>
        </w:tc>
        <w:tc>
          <w:tcPr>
            <w:tcW w:w="2015" w:type="dxa"/>
            <w:vAlign w:val="center"/>
          </w:tcPr>
          <w:p w14:paraId="3813A60A" w14:textId="77777777" w:rsidR="00017B83" w:rsidRPr="00715883" w:rsidRDefault="00017B83" w:rsidP="00D1215C">
            <w:pPr>
              <w:pStyle w:val="TAH"/>
            </w:pPr>
            <w:r w:rsidRPr="00715883">
              <w:t>Measurement bandwidth</w:t>
            </w:r>
          </w:p>
        </w:tc>
        <w:tc>
          <w:tcPr>
            <w:tcW w:w="1909" w:type="dxa"/>
          </w:tcPr>
          <w:p w14:paraId="64D59989" w14:textId="77777777" w:rsidR="00017B83" w:rsidRPr="00715883" w:rsidRDefault="00017B83" w:rsidP="00D1215C">
            <w:pPr>
              <w:pStyle w:val="TAH"/>
            </w:pPr>
            <w:r>
              <w:t>Note (measurement method)</w:t>
            </w:r>
          </w:p>
        </w:tc>
      </w:tr>
      <w:tr w:rsidR="00017B83" w:rsidRPr="00715883" w14:paraId="0F1ED06E" w14:textId="77777777" w:rsidTr="00D1215C">
        <w:tc>
          <w:tcPr>
            <w:tcW w:w="1938" w:type="dxa"/>
            <w:vAlign w:val="center"/>
          </w:tcPr>
          <w:p w14:paraId="6F577036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0-</w:t>
            </w:r>
            <w:r>
              <w:t>25</w:t>
            </w:r>
          </w:p>
        </w:tc>
        <w:tc>
          <w:tcPr>
            <w:tcW w:w="3769" w:type="dxa"/>
            <w:vAlign w:val="center"/>
          </w:tcPr>
          <w:p w14:paraId="0878C354" w14:textId="77777777" w:rsidR="00017B83" w:rsidRPr="00715883" w:rsidRDefault="00017B83" w:rsidP="00D1215C">
            <w:pPr>
              <w:pStyle w:val="TAC"/>
            </w:pPr>
            <w:r>
              <w:t>30 to 15</w:t>
            </w:r>
          </w:p>
        </w:tc>
        <w:tc>
          <w:tcPr>
            <w:tcW w:w="2015" w:type="dxa"/>
            <w:vMerge w:val="restart"/>
            <w:vAlign w:val="center"/>
          </w:tcPr>
          <w:p w14:paraId="1BEA1CCC" w14:textId="77777777" w:rsidR="00017B83" w:rsidRPr="00715883" w:rsidRDefault="00017B83" w:rsidP="00D1215C">
            <w:pPr>
              <w:pStyle w:val="TAC"/>
            </w:pPr>
            <w:r w:rsidRPr="00715883">
              <w:t>3</w:t>
            </w:r>
            <w:r>
              <w:t xml:space="preserve"> </w:t>
            </w:r>
            <w:r w:rsidRPr="00715883">
              <w:t>kHz</w:t>
            </w:r>
          </w:p>
        </w:tc>
        <w:tc>
          <w:tcPr>
            <w:tcW w:w="1909" w:type="dxa"/>
            <w:vMerge w:val="restart"/>
          </w:tcPr>
          <w:p w14:paraId="7F5F892F" w14:textId="77777777" w:rsidR="00017B83" w:rsidRPr="00715883" w:rsidRDefault="00017B83" w:rsidP="00D1215C">
            <w:pPr>
              <w:pStyle w:val="TAC"/>
            </w:pPr>
            <w:r>
              <w:t>Average</w:t>
            </w:r>
          </w:p>
        </w:tc>
      </w:tr>
      <w:tr w:rsidR="00017B83" w:rsidRPr="00715883" w14:paraId="2C8647EB" w14:textId="77777777" w:rsidTr="00D1215C">
        <w:tc>
          <w:tcPr>
            <w:tcW w:w="1938" w:type="dxa"/>
            <w:vAlign w:val="center"/>
          </w:tcPr>
          <w:p w14:paraId="2C2EC548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25</w:t>
            </w:r>
            <w:r w:rsidRPr="00715883">
              <w:t>-</w:t>
            </w:r>
            <w:r>
              <w:t>125</w:t>
            </w:r>
          </w:p>
        </w:tc>
        <w:tc>
          <w:tcPr>
            <w:tcW w:w="3769" w:type="dxa"/>
            <w:vAlign w:val="center"/>
          </w:tcPr>
          <w:p w14:paraId="19533346" w14:textId="77777777" w:rsidR="00017B83" w:rsidRPr="00715883" w:rsidRDefault="00017B83" w:rsidP="00D1215C">
            <w:pPr>
              <w:pStyle w:val="TAC"/>
            </w:pPr>
            <w:r>
              <w:t>15 to -20</w:t>
            </w:r>
          </w:p>
        </w:tc>
        <w:tc>
          <w:tcPr>
            <w:tcW w:w="2015" w:type="dxa"/>
            <w:vMerge/>
            <w:vAlign w:val="center"/>
          </w:tcPr>
          <w:p w14:paraId="27E2CF49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4336E89B" w14:textId="77777777" w:rsidR="00017B83" w:rsidRPr="00715883" w:rsidRDefault="00017B83" w:rsidP="00D1215C">
            <w:pPr>
              <w:pStyle w:val="TAC"/>
            </w:pPr>
          </w:p>
        </w:tc>
      </w:tr>
      <w:tr w:rsidR="00017B83" w:rsidRPr="00715883" w14:paraId="2D649B86" w14:textId="77777777" w:rsidTr="00D1215C">
        <w:tc>
          <w:tcPr>
            <w:tcW w:w="1938" w:type="dxa"/>
            <w:vAlign w:val="center"/>
          </w:tcPr>
          <w:p w14:paraId="3681D265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125</w:t>
            </w:r>
            <w:r w:rsidRPr="00715883">
              <w:t>-</w:t>
            </w:r>
            <w:r>
              <w:t>425</w:t>
            </w:r>
          </w:p>
        </w:tc>
        <w:tc>
          <w:tcPr>
            <w:tcW w:w="3769" w:type="dxa"/>
            <w:vAlign w:val="center"/>
          </w:tcPr>
          <w:p w14:paraId="2D71463B" w14:textId="77777777" w:rsidR="00017B83" w:rsidRPr="00715883" w:rsidRDefault="00017B83" w:rsidP="00D1215C">
            <w:pPr>
              <w:pStyle w:val="TAC"/>
            </w:pPr>
            <w:r w:rsidRPr="00715883">
              <w:t>-</w:t>
            </w:r>
            <w:r>
              <w:t>20</w:t>
            </w:r>
          </w:p>
        </w:tc>
        <w:tc>
          <w:tcPr>
            <w:tcW w:w="2015" w:type="dxa"/>
            <w:vMerge/>
            <w:vAlign w:val="center"/>
          </w:tcPr>
          <w:p w14:paraId="6DA02198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3335AE18" w14:textId="77777777" w:rsidR="00017B83" w:rsidRPr="00715883" w:rsidRDefault="00017B83" w:rsidP="00D1215C">
            <w:pPr>
              <w:pStyle w:val="TAC"/>
            </w:pPr>
          </w:p>
        </w:tc>
      </w:tr>
      <w:tr w:rsidR="00017B83" w:rsidRPr="00715883" w14:paraId="7A058BAB" w14:textId="77777777" w:rsidTr="00D1215C">
        <w:tc>
          <w:tcPr>
            <w:tcW w:w="1938" w:type="dxa"/>
            <w:vAlign w:val="center"/>
          </w:tcPr>
          <w:p w14:paraId="07AF1E21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425</w:t>
            </w:r>
            <w:r w:rsidRPr="00715883">
              <w:t>-</w:t>
            </w:r>
            <w:r>
              <w:t>1500</w:t>
            </w:r>
          </w:p>
        </w:tc>
        <w:tc>
          <w:tcPr>
            <w:tcW w:w="3769" w:type="dxa"/>
            <w:vAlign w:val="center"/>
          </w:tcPr>
          <w:p w14:paraId="64237F2D" w14:textId="77777777" w:rsidR="00017B83" w:rsidRPr="00715883" w:rsidRDefault="00017B83" w:rsidP="00D1215C">
            <w:pPr>
              <w:pStyle w:val="TAC"/>
            </w:pPr>
            <w:r>
              <w:t>-20 to -35</w:t>
            </w:r>
          </w:p>
        </w:tc>
        <w:tc>
          <w:tcPr>
            <w:tcW w:w="2015" w:type="dxa"/>
            <w:vMerge/>
            <w:vAlign w:val="center"/>
          </w:tcPr>
          <w:p w14:paraId="40D2BB1D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6F61123C" w14:textId="77777777" w:rsidR="00017B83" w:rsidRPr="00715883" w:rsidRDefault="00017B83" w:rsidP="00D1215C">
            <w:pPr>
              <w:pStyle w:val="TAC"/>
            </w:pPr>
          </w:p>
        </w:tc>
      </w:tr>
      <w:tr w:rsidR="00017B83" w14:paraId="3339FBA0" w14:textId="77777777" w:rsidTr="00D1215C">
        <w:tc>
          <w:tcPr>
            <w:tcW w:w="1938" w:type="dxa"/>
            <w:vAlign w:val="center"/>
          </w:tcPr>
          <w:p w14:paraId="41CC1356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1500</w:t>
            </w:r>
            <w:r w:rsidRPr="00715883">
              <w:t>-</w:t>
            </w:r>
            <w:r>
              <w:t>36000</w:t>
            </w:r>
          </w:p>
        </w:tc>
        <w:tc>
          <w:tcPr>
            <w:tcW w:w="3769" w:type="dxa"/>
            <w:vAlign w:val="center"/>
          </w:tcPr>
          <w:p w14:paraId="4D0E9997" w14:textId="77777777" w:rsidR="00017B83" w:rsidRPr="00715883" w:rsidRDefault="00017B83" w:rsidP="00D1215C">
            <w:pPr>
              <w:pStyle w:val="TAC"/>
            </w:pPr>
            <w:r>
              <w:t>-25</w:t>
            </w:r>
          </w:p>
        </w:tc>
        <w:tc>
          <w:tcPr>
            <w:tcW w:w="2015" w:type="dxa"/>
            <w:vAlign w:val="center"/>
          </w:tcPr>
          <w:p w14:paraId="44271D68" w14:textId="77777777" w:rsidR="00017B83" w:rsidRPr="00715883" w:rsidRDefault="00017B83" w:rsidP="00D1215C">
            <w:pPr>
              <w:pStyle w:val="TAC"/>
            </w:pPr>
            <w:r>
              <w:t>30 kHz</w:t>
            </w:r>
          </w:p>
        </w:tc>
        <w:tc>
          <w:tcPr>
            <w:tcW w:w="1909" w:type="dxa"/>
            <w:vMerge/>
          </w:tcPr>
          <w:p w14:paraId="2B9FF9AC" w14:textId="77777777" w:rsidR="00017B83" w:rsidRDefault="00017B83" w:rsidP="00D1215C">
            <w:pPr>
              <w:pStyle w:val="TAC"/>
            </w:pPr>
          </w:p>
        </w:tc>
      </w:tr>
    </w:tbl>
    <w:p w14:paraId="47E13E33" w14:textId="77777777" w:rsidR="00DE1088" w:rsidRPr="00DE1088" w:rsidRDefault="00DE1088" w:rsidP="00DE1088"/>
    <w:p w14:paraId="3E0C9793" w14:textId="259AC683" w:rsidR="007C7F6C" w:rsidRDefault="00817C36" w:rsidP="007C7F6C">
      <w:pPr>
        <w:jc w:val="center"/>
      </w:pPr>
      <w:r>
        <w:rPr>
          <w:noProof/>
        </w:rPr>
        <w:drawing>
          <wp:inline distT="0" distB="0" distL="0" distR="0" wp14:anchorId="3DBE520D" wp14:editId="25DEB3A6">
            <wp:extent cx="1612672" cy="6202018"/>
            <wp:effectExtent l="0" t="0" r="635" b="0"/>
            <wp:docPr id="94267050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70508" name="Graphic 942670508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6967" cy="6333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FCAEE" w14:textId="23A0923A" w:rsidR="007C7F6C" w:rsidRDefault="007C7F6C" w:rsidP="007C7F6C">
      <w:pPr>
        <w:pStyle w:val="TF"/>
      </w:pPr>
      <w:r>
        <w:t>Figure A-1: Superposition of the ETSI in-band mask (pink) and 3GPP NB-IOT mask (blue).</w:t>
      </w:r>
    </w:p>
    <w:p w14:paraId="60BFEDA4" w14:textId="44D7C95C" w:rsidR="000C3112" w:rsidRDefault="000C3112">
      <w:pPr>
        <w:spacing w:after="0"/>
      </w:pPr>
      <w:r>
        <w:br w:type="page"/>
      </w:r>
    </w:p>
    <w:p w14:paraId="1448B8EF" w14:textId="35C37115" w:rsidR="000C3112" w:rsidRDefault="000C3112" w:rsidP="000C3112">
      <w:pPr>
        <w:pStyle w:val="Heading8"/>
      </w:pPr>
      <w:r>
        <w:lastRenderedPageBreak/>
        <w:t xml:space="preserve">Annex </w:t>
      </w:r>
      <w:r w:rsidR="00B17A13">
        <w:t>B</w:t>
      </w:r>
      <w:r>
        <w:t>:</w:t>
      </w:r>
      <w:r>
        <w:tab/>
        <w:t xml:space="preserve">ETSI </w:t>
      </w:r>
      <w:r w:rsidRPr="006E34A4">
        <w:t>EN 301681</w:t>
      </w:r>
      <w:r>
        <w:t xml:space="preserve"> emission limits outside the band</w:t>
      </w:r>
    </w:p>
    <w:p w14:paraId="60A9689D" w14:textId="77777777" w:rsidR="004424FA" w:rsidRDefault="004424FA" w:rsidP="004424FA"/>
    <w:p w14:paraId="6F89475A" w14:textId="77777777" w:rsidR="004424FA" w:rsidRDefault="004424FA" w:rsidP="004424FA"/>
    <w:p w14:paraId="439E8004" w14:textId="77777777" w:rsidR="004424FA" w:rsidRDefault="004424FA" w:rsidP="004424FA"/>
    <w:p w14:paraId="06FFE3EA" w14:textId="77777777" w:rsidR="004424FA" w:rsidRDefault="004424FA" w:rsidP="004424FA"/>
    <w:p w14:paraId="5BB83732" w14:textId="5E970A4A" w:rsidR="004424FA" w:rsidRPr="004424FA" w:rsidRDefault="00795BB2" w:rsidP="004424FA">
      <w:r>
        <w:rPr>
          <w:noProof/>
        </w:rPr>
        <w:drawing>
          <wp:inline distT="0" distB="0" distL="0" distR="0" wp14:anchorId="637293D8" wp14:editId="15FE5442">
            <wp:extent cx="6122035" cy="3606165"/>
            <wp:effectExtent l="0" t="0" r="0" b="0"/>
            <wp:docPr id="2280981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98197" name="Picture 22809819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88AAB" w14:textId="5F8262C8" w:rsidR="00B17A13" w:rsidRDefault="00B17A13" w:rsidP="00B17A13">
      <w:pPr>
        <w:pStyle w:val="TF"/>
      </w:pPr>
      <w:r>
        <w:t>Figure B-1: Superposition of the ETSI mask for the sub-range 1 (pink) and 3GPP NB-IOT mask (blue).</w:t>
      </w:r>
    </w:p>
    <w:sectPr w:rsidR="00B17A13" w:rsidSect="00114E2C">
      <w:headerReference w:type="default" r:id="rId19"/>
      <w:footerReference w:type="default" r:id="rId20"/>
      <w:footerReference w:type="first" r:id="rId2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860A73" w14:textId="77777777" w:rsidR="003F23E7" w:rsidRDefault="003F23E7">
      <w:r>
        <w:separator/>
      </w:r>
    </w:p>
  </w:endnote>
  <w:endnote w:type="continuationSeparator" w:id="0">
    <w:p w14:paraId="3A010362" w14:textId="77777777" w:rsidR="003F23E7" w:rsidRDefault="003F23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E5EB2C" w14:textId="77777777" w:rsidR="003F23E7" w:rsidRDefault="003F23E7">
      <w:r>
        <w:separator/>
      </w:r>
    </w:p>
  </w:footnote>
  <w:footnote w:type="continuationSeparator" w:id="0">
    <w:p w14:paraId="15DCBBD1" w14:textId="77777777" w:rsidR="003F23E7" w:rsidRDefault="003F23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5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5BED"/>
    <w:rsid w:val="00007A5E"/>
    <w:rsid w:val="00017B83"/>
    <w:rsid w:val="00033397"/>
    <w:rsid w:val="00040095"/>
    <w:rsid w:val="0004667B"/>
    <w:rsid w:val="00051834"/>
    <w:rsid w:val="00054A22"/>
    <w:rsid w:val="00062023"/>
    <w:rsid w:val="00063E2F"/>
    <w:rsid w:val="000655A6"/>
    <w:rsid w:val="00080512"/>
    <w:rsid w:val="0008061E"/>
    <w:rsid w:val="000843E8"/>
    <w:rsid w:val="00087819"/>
    <w:rsid w:val="000A022D"/>
    <w:rsid w:val="000A365D"/>
    <w:rsid w:val="000A3D66"/>
    <w:rsid w:val="000A68F3"/>
    <w:rsid w:val="000A74CE"/>
    <w:rsid w:val="000B5247"/>
    <w:rsid w:val="000B5AA9"/>
    <w:rsid w:val="000C3112"/>
    <w:rsid w:val="000C47C3"/>
    <w:rsid w:val="000D322B"/>
    <w:rsid w:val="000D58AB"/>
    <w:rsid w:val="000D59FD"/>
    <w:rsid w:val="00103CDF"/>
    <w:rsid w:val="00104BC6"/>
    <w:rsid w:val="00105A14"/>
    <w:rsid w:val="00114E2C"/>
    <w:rsid w:val="001162BE"/>
    <w:rsid w:val="00133525"/>
    <w:rsid w:val="0014090D"/>
    <w:rsid w:val="00140A0B"/>
    <w:rsid w:val="00146425"/>
    <w:rsid w:val="00173873"/>
    <w:rsid w:val="001954BE"/>
    <w:rsid w:val="00196838"/>
    <w:rsid w:val="001A4C42"/>
    <w:rsid w:val="001B009A"/>
    <w:rsid w:val="001B3615"/>
    <w:rsid w:val="001C21C3"/>
    <w:rsid w:val="001C3037"/>
    <w:rsid w:val="001D02C2"/>
    <w:rsid w:val="001F0C1D"/>
    <w:rsid w:val="001F1132"/>
    <w:rsid w:val="001F168B"/>
    <w:rsid w:val="00215168"/>
    <w:rsid w:val="00217DEB"/>
    <w:rsid w:val="00220194"/>
    <w:rsid w:val="002347A2"/>
    <w:rsid w:val="00236878"/>
    <w:rsid w:val="00247926"/>
    <w:rsid w:val="002675F0"/>
    <w:rsid w:val="0027645E"/>
    <w:rsid w:val="00276EE4"/>
    <w:rsid w:val="002810CC"/>
    <w:rsid w:val="00284CAF"/>
    <w:rsid w:val="0028779C"/>
    <w:rsid w:val="0028796A"/>
    <w:rsid w:val="00293B65"/>
    <w:rsid w:val="002B1180"/>
    <w:rsid w:val="002B2390"/>
    <w:rsid w:val="002B6339"/>
    <w:rsid w:val="002C329D"/>
    <w:rsid w:val="002D7ADA"/>
    <w:rsid w:val="002E00EE"/>
    <w:rsid w:val="00300BF3"/>
    <w:rsid w:val="00307CD2"/>
    <w:rsid w:val="003172DC"/>
    <w:rsid w:val="00320AA4"/>
    <w:rsid w:val="00321C59"/>
    <w:rsid w:val="0032423A"/>
    <w:rsid w:val="003333B3"/>
    <w:rsid w:val="00337364"/>
    <w:rsid w:val="0034052F"/>
    <w:rsid w:val="00347152"/>
    <w:rsid w:val="0035462D"/>
    <w:rsid w:val="003765B8"/>
    <w:rsid w:val="00385187"/>
    <w:rsid w:val="00385D6A"/>
    <w:rsid w:val="00386D57"/>
    <w:rsid w:val="003A0483"/>
    <w:rsid w:val="003A103E"/>
    <w:rsid w:val="003A57BF"/>
    <w:rsid w:val="003B5FDA"/>
    <w:rsid w:val="003C3971"/>
    <w:rsid w:val="003C3D83"/>
    <w:rsid w:val="003D136F"/>
    <w:rsid w:val="003D514B"/>
    <w:rsid w:val="003E7753"/>
    <w:rsid w:val="003F23E7"/>
    <w:rsid w:val="003F3E46"/>
    <w:rsid w:val="003F7F1C"/>
    <w:rsid w:val="00401581"/>
    <w:rsid w:val="00423334"/>
    <w:rsid w:val="004345EC"/>
    <w:rsid w:val="00434F1B"/>
    <w:rsid w:val="004424FA"/>
    <w:rsid w:val="00445CD2"/>
    <w:rsid w:val="004826A9"/>
    <w:rsid w:val="004A02F6"/>
    <w:rsid w:val="004A2499"/>
    <w:rsid w:val="004C1601"/>
    <w:rsid w:val="004C4566"/>
    <w:rsid w:val="004D0876"/>
    <w:rsid w:val="004D3578"/>
    <w:rsid w:val="004E09FC"/>
    <w:rsid w:val="004E213A"/>
    <w:rsid w:val="004F0988"/>
    <w:rsid w:val="004F3340"/>
    <w:rsid w:val="004F3E3D"/>
    <w:rsid w:val="0051553A"/>
    <w:rsid w:val="0052216E"/>
    <w:rsid w:val="005229C2"/>
    <w:rsid w:val="0052436C"/>
    <w:rsid w:val="0053388B"/>
    <w:rsid w:val="00535773"/>
    <w:rsid w:val="00541B74"/>
    <w:rsid w:val="00543E6C"/>
    <w:rsid w:val="00552802"/>
    <w:rsid w:val="00554FF0"/>
    <w:rsid w:val="00556670"/>
    <w:rsid w:val="00564314"/>
    <w:rsid w:val="00565087"/>
    <w:rsid w:val="00572E14"/>
    <w:rsid w:val="00577451"/>
    <w:rsid w:val="00592A7A"/>
    <w:rsid w:val="005973BE"/>
    <w:rsid w:val="005A5986"/>
    <w:rsid w:val="005A7DA9"/>
    <w:rsid w:val="005C1E64"/>
    <w:rsid w:val="005D2E01"/>
    <w:rsid w:val="005D7526"/>
    <w:rsid w:val="005E69AE"/>
    <w:rsid w:val="005F0662"/>
    <w:rsid w:val="005F2AD9"/>
    <w:rsid w:val="00602AEA"/>
    <w:rsid w:val="00607E3C"/>
    <w:rsid w:val="006139EE"/>
    <w:rsid w:val="00614FDF"/>
    <w:rsid w:val="006246A7"/>
    <w:rsid w:val="0062595A"/>
    <w:rsid w:val="00633CFF"/>
    <w:rsid w:val="0063543D"/>
    <w:rsid w:val="00647114"/>
    <w:rsid w:val="006567D5"/>
    <w:rsid w:val="00673BB5"/>
    <w:rsid w:val="006816F9"/>
    <w:rsid w:val="00695CB8"/>
    <w:rsid w:val="006A1C68"/>
    <w:rsid w:val="006A323F"/>
    <w:rsid w:val="006B1F12"/>
    <w:rsid w:val="006B30D0"/>
    <w:rsid w:val="006C14B9"/>
    <w:rsid w:val="006C3D95"/>
    <w:rsid w:val="006C6B83"/>
    <w:rsid w:val="006E1154"/>
    <w:rsid w:val="006E34A4"/>
    <w:rsid w:val="006E5C86"/>
    <w:rsid w:val="006E70C6"/>
    <w:rsid w:val="006E7B31"/>
    <w:rsid w:val="006E7B56"/>
    <w:rsid w:val="006F00ED"/>
    <w:rsid w:val="007003AF"/>
    <w:rsid w:val="00713C44"/>
    <w:rsid w:val="0071582B"/>
    <w:rsid w:val="00734A5B"/>
    <w:rsid w:val="0074026F"/>
    <w:rsid w:val="007429F6"/>
    <w:rsid w:val="00744E76"/>
    <w:rsid w:val="00745958"/>
    <w:rsid w:val="00752198"/>
    <w:rsid w:val="00753881"/>
    <w:rsid w:val="007634A9"/>
    <w:rsid w:val="00766F03"/>
    <w:rsid w:val="00774DA4"/>
    <w:rsid w:val="00781BC9"/>
    <w:rsid w:val="00781F0F"/>
    <w:rsid w:val="00785878"/>
    <w:rsid w:val="00791C85"/>
    <w:rsid w:val="00795BB2"/>
    <w:rsid w:val="00796D01"/>
    <w:rsid w:val="007A6029"/>
    <w:rsid w:val="007B600E"/>
    <w:rsid w:val="007C023B"/>
    <w:rsid w:val="007C7F6C"/>
    <w:rsid w:val="007D57C5"/>
    <w:rsid w:val="007E0D53"/>
    <w:rsid w:val="007F0F4A"/>
    <w:rsid w:val="008028A4"/>
    <w:rsid w:val="00814B32"/>
    <w:rsid w:val="00816F41"/>
    <w:rsid w:val="00817C36"/>
    <w:rsid w:val="00820B25"/>
    <w:rsid w:val="00830747"/>
    <w:rsid w:val="00832408"/>
    <w:rsid w:val="00835385"/>
    <w:rsid w:val="00841A14"/>
    <w:rsid w:val="008506C6"/>
    <w:rsid w:val="0086094D"/>
    <w:rsid w:val="008664AA"/>
    <w:rsid w:val="008711D0"/>
    <w:rsid w:val="008768CA"/>
    <w:rsid w:val="008942BB"/>
    <w:rsid w:val="008C26B5"/>
    <w:rsid w:val="008C384C"/>
    <w:rsid w:val="008D325C"/>
    <w:rsid w:val="008E03C4"/>
    <w:rsid w:val="008E7986"/>
    <w:rsid w:val="008F0338"/>
    <w:rsid w:val="008F1A61"/>
    <w:rsid w:val="0090271F"/>
    <w:rsid w:val="00902E23"/>
    <w:rsid w:val="009040B4"/>
    <w:rsid w:val="009114D7"/>
    <w:rsid w:val="0091348E"/>
    <w:rsid w:val="00915539"/>
    <w:rsid w:val="00917CCB"/>
    <w:rsid w:val="00924C65"/>
    <w:rsid w:val="00927E42"/>
    <w:rsid w:val="009416E2"/>
    <w:rsid w:val="00942EC2"/>
    <w:rsid w:val="009664B0"/>
    <w:rsid w:val="009710AA"/>
    <w:rsid w:val="009720D1"/>
    <w:rsid w:val="009A7F7E"/>
    <w:rsid w:val="009B1B43"/>
    <w:rsid w:val="009D1608"/>
    <w:rsid w:val="009F37B7"/>
    <w:rsid w:val="009F5E43"/>
    <w:rsid w:val="009F5F3D"/>
    <w:rsid w:val="009F684C"/>
    <w:rsid w:val="00A01244"/>
    <w:rsid w:val="00A024C2"/>
    <w:rsid w:val="00A10F02"/>
    <w:rsid w:val="00A164B4"/>
    <w:rsid w:val="00A25B38"/>
    <w:rsid w:val="00A26956"/>
    <w:rsid w:val="00A511B3"/>
    <w:rsid w:val="00A535B1"/>
    <w:rsid w:val="00A53724"/>
    <w:rsid w:val="00A6706E"/>
    <w:rsid w:val="00A73129"/>
    <w:rsid w:val="00A82346"/>
    <w:rsid w:val="00A85D89"/>
    <w:rsid w:val="00A917CA"/>
    <w:rsid w:val="00A92BA1"/>
    <w:rsid w:val="00AB337F"/>
    <w:rsid w:val="00AC6BC6"/>
    <w:rsid w:val="00AE3797"/>
    <w:rsid w:val="00B13555"/>
    <w:rsid w:val="00B142FF"/>
    <w:rsid w:val="00B15449"/>
    <w:rsid w:val="00B17A13"/>
    <w:rsid w:val="00B23B6A"/>
    <w:rsid w:val="00B2658A"/>
    <w:rsid w:val="00B302D2"/>
    <w:rsid w:val="00B34884"/>
    <w:rsid w:val="00B554A2"/>
    <w:rsid w:val="00B650C4"/>
    <w:rsid w:val="00B83134"/>
    <w:rsid w:val="00B85785"/>
    <w:rsid w:val="00B87EFE"/>
    <w:rsid w:val="00B93086"/>
    <w:rsid w:val="00BA19ED"/>
    <w:rsid w:val="00BA300B"/>
    <w:rsid w:val="00BA4B8D"/>
    <w:rsid w:val="00BC06E3"/>
    <w:rsid w:val="00BC0F7D"/>
    <w:rsid w:val="00BC38F7"/>
    <w:rsid w:val="00BC7625"/>
    <w:rsid w:val="00BD7280"/>
    <w:rsid w:val="00BE3255"/>
    <w:rsid w:val="00BE78A9"/>
    <w:rsid w:val="00BF128E"/>
    <w:rsid w:val="00C1496A"/>
    <w:rsid w:val="00C33079"/>
    <w:rsid w:val="00C410A9"/>
    <w:rsid w:val="00C45231"/>
    <w:rsid w:val="00C65948"/>
    <w:rsid w:val="00C72833"/>
    <w:rsid w:val="00C72C1E"/>
    <w:rsid w:val="00C76F24"/>
    <w:rsid w:val="00C77BB2"/>
    <w:rsid w:val="00C80F1D"/>
    <w:rsid w:val="00C814CA"/>
    <w:rsid w:val="00C83810"/>
    <w:rsid w:val="00C93F40"/>
    <w:rsid w:val="00C94838"/>
    <w:rsid w:val="00CA3D0C"/>
    <w:rsid w:val="00CA4BCC"/>
    <w:rsid w:val="00CC6DE1"/>
    <w:rsid w:val="00CC7C66"/>
    <w:rsid w:val="00CE3A08"/>
    <w:rsid w:val="00CF20E3"/>
    <w:rsid w:val="00CF4836"/>
    <w:rsid w:val="00D16AF1"/>
    <w:rsid w:val="00D309CC"/>
    <w:rsid w:val="00D31FE0"/>
    <w:rsid w:val="00D325B6"/>
    <w:rsid w:val="00D333FB"/>
    <w:rsid w:val="00D41A75"/>
    <w:rsid w:val="00D4627C"/>
    <w:rsid w:val="00D46431"/>
    <w:rsid w:val="00D56A52"/>
    <w:rsid w:val="00D57972"/>
    <w:rsid w:val="00D62CF4"/>
    <w:rsid w:val="00D66E31"/>
    <w:rsid w:val="00D675A9"/>
    <w:rsid w:val="00D738D6"/>
    <w:rsid w:val="00D755EB"/>
    <w:rsid w:val="00D7700A"/>
    <w:rsid w:val="00D83D65"/>
    <w:rsid w:val="00D87E00"/>
    <w:rsid w:val="00D9134D"/>
    <w:rsid w:val="00DA078F"/>
    <w:rsid w:val="00DA70C9"/>
    <w:rsid w:val="00DA7A03"/>
    <w:rsid w:val="00DB1818"/>
    <w:rsid w:val="00DC0D5D"/>
    <w:rsid w:val="00DC309B"/>
    <w:rsid w:val="00DC4DA2"/>
    <w:rsid w:val="00DD474B"/>
    <w:rsid w:val="00DD4C17"/>
    <w:rsid w:val="00DD5217"/>
    <w:rsid w:val="00DE1088"/>
    <w:rsid w:val="00DE7153"/>
    <w:rsid w:val="00DF2007"/>
    <w:rsid w:val="00DF2B1F"/>
    <w:rsid w:val="00DF6189"/>
    <w:rsid w:val="00DF62CD"/>
    <w:rsid w:val="00E0380E"/>
    <w:rsid w:val="00E11FF8"/>
    <w:rsid w:val="00E158C5"/>
    <w:rsid w:val="00E16509"/>
    <w:rsid w:val="00E32641"/>
    <w:rsid w:val="00E44582"/>
    <w:rsid w:val="00E52814"/>
    <w:rsid w:val="00E5486E"/>
    <w:rsid w:val="00E66D25"/>
    <w:rsid w:val="00E70EB9"/>
    <w:rsid w:val="00E72324"/>
    <w:rsid w:val="00E72ABE"/>
    <w:rsid w:val="00E77645"/>
    <w:rsid w:val="00E83C1B"/>
    <w:rsid w:val="00E84A16"/>
    <w:rsid w:val="00E93612"/>
    <w:rsid w:val="00EA4C9E"/>
    <w:rsid w:val="00EB0A0D"/>
    <w:rsid w:val="00EB68EC"/>
    <w:rsid w:val="00EC4A25"/>
    <w:rsid w:val="00EE5AA7"/>
    <w:rsid w:val="00EE7737"/>
    <w:rsid w:val="00EF44CA"/>
    <w:rsid w:val="00EF487C"/>
    <w:rsid w:val="00EF5728"/>
    <w:rsid w:val="00F00D8B"/>
    <w:rsid w:val="00F025A2"/>
    <w:rsid w:val="00F04712"/>
    <w:rsid w:val="00F21311"/>
    <w:rsid w:val="00F22EC7"/>
    <w:rsid w:val="00F325C8"/>
    <w:rsid w:val="00F345E1"/>
    <w:rsid w:val="00F4738D"/>
    <w:rsid w:val="00F47F57"/>
    <w:rsid w:val="00F50821"/>
    <w:rsid w:val="00F55410"/>
    <w:rsid w:val="00F55AC2"/>
    <w:rsid w:val="00F55E6B"/>
    <w:rsid w:val="00F57645"/>
    <w:rsid w:val="00F60A68"/>
    <w:rsid w:val="00F62AEB"/>
    <w:rsid w:val="00F653B8"/>
    <w:rsid w:val="00F70647"/>
    <w:rsid w:val="00F71596"/>
    <w:rsid w:val="00F86D62"/>
    <w:rsid w:val="00FA1266"/>
    <w:rsid w:val="00FB0A55"/>
    <w:rsid w:val="00FB4F82"/>
    <w:rsid w:val="00FC1192"/>
    <w:rsid w:val="00FC53CC"/>
    <w:rsid w:val="00FD424A"/>
    <w:rsid w:val="00FE2446"/>
    <w:rsid w:val="00FF3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uiPriority w:val="99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uiPriority w:val="99"/>
    <w:qFormat/>
    <w:rsid w:val="00017B83"/>
    <w:rPr>
      <w:rFonts w:ascii="Arial" w:hAnsi="Arial"/>
      <w:b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sv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66</TotalTime>
  <Pages>6</Pages>
  <Words>1302</Words>
  <Characters>7427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8712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79</cp:revision>
  <cp:lastPrinted>2019-02-25T13:05:00Z</cp:lastPrinted>
  <dcterms:created xsi:type="dcterms:W3CDTF">2026-01-07T13:45:00Z</dcterms:created>
  <dcterms:modified xsi:type="dcterms:W3CDTF">2026-01-29T21:03:00Z</dcterms:modified>
  <cp:category/>
</cp:coreProperties>
</file>